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CC4" w:rsidRDefault="00325D85">
      <w:pPr>
        <w:tabs>
          <w:tab w:val="right" w:pos="9781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8</w:t>
      </w:r>
      <w:r>
        <w:rPr>
          <w:rFonts w:ascii="Arial" w:hAnsi="Arial" w:cs="Arial"/>
          <w:b/>
          <w:sz w:val="24"/>
          <w:szCs w:val="24"/>
        </w:rPr>
        <w:tab/>
        <w:t>S2-</w:t>
      </w:r>
      <w:r w:rsidR="00570A25" w:rsidRPr="00570A25">
        <w:rPr>
          <w:rFonts w:ascii="Arial" w:hAnsi="Arial" w:cs="Arial"/>
          <w:b/>
          <w:sz w:val="24"/>
          <w:szCs w:val="24"/>
        </w:rPr>
        <w:t>2503422</w:t>
      </w:r>
    </w:p>
    <w:p w:rsidR="00B25CC4" w:rsidRDefault="00302FC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宋体" w:hAnsi="Arial" w:cs="Arial" w:hint="eastAsia"/>
          <w:b/>
          <w:sz w:val="24"/>
          <w:lang w:val="en-US" w:eastAsia="zh-CN"/>
        </w:rPr>
        <w:t>April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7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11</w:t>
      </w:r>
      <w:r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</w:rPr>
        <w:t>Goteborg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, SE</w:t>
      </w:r>
      <w:r w:rsidR="00325D85">
        <w:rPr>
          <w:rFonts w:ascii="Arial" w:hAnsi="Arial" w:cs="Arial"/>
          <w:b/>
          <w:color w:val="0000FF"/>
        </w:rPr>
        <w:tab/>
      </w:r>
    </w:p>
    <w:p w:rsidR="00B25CC4" w:rsidRDefault="00325D85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</w:p>
    <w:p w:rsidR="00B25CC4" w:rsidRDefault="00325D8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Key Issue 4: Sensing data collection and transport</w:t>
      </w:r>
    </w:p>
    <w:p w:rsidR="00B25CC4" w:rsidRDefault="00325D8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25CC4" w:rsidRDefault="00325D85">
      <w:pPr>
        <w:ind w:left="2127" w:hanging="2127"/>
        <w:rPr>
          <w:rFonts w:ascii="Arial" w:eastAsia="宋体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302FC1">
        <w:rPr>
          <w:rFonts w:ascii="Arial" w:eastAsia="宋体" w:hAnsi="Arial" w:cs="Arial" w:hint="eastAsia"/>
          <w:b/>
          <w:lang w:val="en-US" w:eastAsia="zh-CN"/>
        </w:rPr>
        <w:t>20.2.1</w:t>
      </w:r>
    </w:p>
    <w:p w:rsidR="00B25CC4" w:rsidRDefault="00325D8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eastAsia="宋体" w:hAnsi="Arial" w:cs="Arial" w:hint="eastAsia"/>
          <w:b/>
          <w:lang w:val="en-US" w:eastAsia="zh-CN"/>
        </w:rPr>
        <w:t>ISAC</w:t>
      </w:r>
      <w:r>
        <w:rPr>
          <w:rFonts w:ascii="Arial" w:hAnsi="Arial" w:cs="Arial"/>
          <w:b/>
        </w:rPr>
        <w:t>/</w:t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</w:t>
      </w:r>
      <w:r>
        <w:rPr>
          <w:rFonts w:ascii="Arial" w:eastAsia="宋体" w:hAnsi="Arial" w:cs="Arial" w:hint="eastAsia"/>
          <w:b/>
          <w:lang w:val="en-US" w:eastAsia="zh-CN"/>
        </w:rPr>
        <w:t>20</w:t>
      </w:r>
    </w:p>
    <w:p w:rsidR="00B25CC4" w:rsidRDefault="00325D85">
      <w:pPr>
        <w:rPr>
          <w:rFonts w:ascii="Arial" w:hAnsi="Arial" w:cs="Arial"/>
          <w:i/>
        </w:rPr>
      </w:pPr>
      <w:bookmarkStart w:id="0" w:name="_Toc462478989"/>
      <w:r>
        <w:rPr>
          <w:rFonts w:ascii="Arial" w:hAnsi="Arial" w:cs="Arial"/>
          <w:i/>
          <w:iCs/>
        </w:rPr>
        <w:t xml:space="preserve">Abstract of the contribution: </w:t>
      </w:r>
      <w:r>
        <w:rPr>
          <w:rFonts w:ascii="Arial" w:hAnsi="Arial" w:cs="Arial"/>
          <w:i/>
        </w:rPr>
        <w:t xml:space="preserve">This paper proposes </w:t>
      </w:r>
      <w:r>
        <w:rPr>
          <w:rFonts w:ascii="Arial" w:eastAsia="宋体" w:hAnsi="Arial" w:cs="Arial" w:hint="eastAsia"/>
          <w:i/>
          <w:lang w:val="en-US" w:eastAsia="zh-CN"/>
        </w:rPr>
        <w:t>the key issue about sensing data collection and transport</w:t>
      </w:r>
      <w:r>
        <w:rPr>
          <w:rFonts w:ascii="Arial" w:hAnsi="Arial" w:cs="Arial"/>
          <w:i/>
        </w:rPr>
        <w:t xml:space="preserve"> for FS_ </w:t>
      </w:r>
      <w:r>
        <w:rPr>
          <w:rFonts w:ascii="Arial" w:eastAsia="宋体" w:hAnsi="Arial" w:cs="Arial" w:hint="eastAsia"/>
          <w:i/>
          <w:lang w:val="en-US" w:eastAsia="zh-CN"/>
        </w:rPr>
        <w:t>ISAC</w:t>
      </w:r>
      <w:r>
        <w:rPr>
          <w:rFonts w:ascii="Arial" w:hAnsi="Arial" w:cs="Arial"/>
          <w:i/>
        </w:rPr>
        <w:t xml:space="preserve"> TR 23.700-</w:t>
      </w:r>
      <w:r w:rsidR="00302FC1">
        <w:rPr>
          <w:rFonts w:ascii="Arial" w:eastAsia="宋体" w:hAnsi="Arial" w:cs="Arial"/>
          <w:i/>
          <w:lang w:val="en-US" w:eastAsia="zh-CN"/>
        </w:rPr>
        <w:t>14.</w:t>
      </w:r>
    </w:p>
    <w:p w:rsidR="00B25CC4" w:rsidRDefault="00325D85">
      <w:pPr>
        <w:pStyle w:val="1"/>
      </w:pPr>
      <w:r>
        <w:t>1</w:t>
      </w:r>
      <w:r>
        <w:tab/>
        <w:t>Discussion</w:t>
      </w:r>
    </w:p>
    <w:p w:rsidR="00B25CC4" w:rsidRDefault="00325D85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paper proposes</w:t>
      </w:r>
      <w:r>
        <w:rPr>
          <w:rFonts w:eastAsiaTheme="minorEastAsia" w:hint="eastAsia"/>
          <w:color w:val="auto"/>
          <w:lang w:val="en-US" w:eastAsia="zh-CN"/>
        </w:rPr>
        <w:t xml:space="preserve"> </w:t>
      </w:r>
      <w:r>
        <w:rPr>
          <w:rFonts w:eastAsiaTheme="minorEastAsia" w:hint="eastAsia"/>
          <w:color w:val="auto"/>
          <w:lang w:eastAsia="en-US"/>
        </w:rPr>
        <w:t>the key issue about</w:t>
      </w:r>
      <w:r>
        <w:rPr>
          <w:rFonts w:eastAsiaTheme="minorEastAsia" w:hint="eastAsia"/>
          <w:color w:val="auto"/>
          <w:lang w:val="en-US" w:eastAsia="zh-CN"/>
        </w:rPr>
        <w:t xml:space="preserve"> s</w:t>
      </w:r>
      <w:proofErr w:type="spellStart"/>
      <w:r>
        <w:rPr>
          <w:rFonts w:eastAsiaTheme="minorEastAsia" w:hint="eastAsia"/>
          <w:color w:val="auto"/>
          <w:lang w:eastAsia="en-US"/>
        </w:rPr>
        <w:t>ensing</w:t>
      </w:r>
      <w:proofErr w:type="spellEnd"/>
      <w:r>
        <w:rPr>
          <w:rFonts w:eastAsiaTheme="minorEastAsia" w:hint="eastAsia"/>
          <w:color w:val="auto"/>
          <w:lang w:eastAsia="en-US"/>
        </w:rPr>
        <w:t xml:space="preserve"> data collection and transport</w:t>
      </w:r>
      <w:r>
        <w:rPr>
          <w:rFonts w:eastAsiaTheme="minorEastAsia"/>
          <w:color w:val="auto"/>
          <w:lang w:eastAsia="en-US"/>
        </w:rPr>
        <w:t xml:space="preserve"> based on content of the FS_</w:t>
      </w:r>
      <w:r>
        <w:rPr>
          <w:rFonts w:eastAsiaTheme="minorEastAsia" w:hint="eastAsia"/>
          <w:color w:val="auto"/>
          <w:lang w:val="en-US" w:eastAsia="zh-CN"/>
        </w:rPr>
        <w:t>ISAC</w:t>
      </w:r>
      <w:r>
        <w:rPr>
          <w:rFonts w:eastAsiaTheme="minorEastAsia"/>
          <w:color w:val="auto"/>
          <w:lang w:eastAsia="en-US"/>
        </w:rPr>
        <w:t xml:space="preserve"> SID (</w:t>
      </w:r>
      <w:r w:rsidR="00302FC1">
        <w:rPr>
          <w:rFonts w:eastAsiaTheme="minorEastAsia"/>
          <w:color w:val="auto"/>
          <w:lang w:eastAsia="en-US"/>
        </w:rPr>
        <w:t>SP-</w:t>
      </w:r>
      <w:r w:rsidR="00302FC1">
        <w:rPr>
          <w:rFonts w:eastAsiaTheme="minorEastAsia" w:hint="eastAsia"/>
          <w:color w:val="auto"/>
          <w:lang w:eastAsia="en-US"/>
        </w:rPr>
        <w:t>250401</w:t>
      </w:r>
      <w:r>
        <w:rPr>
          <w:rFonts w:eastAsiaTheme="minorEastAsia"/>
          <w:color w:val="auto"/>
          <w:lang w:eastAsia="en-US"/>
        </w:rPr>
        <w:t>).</w:t>
      </w:r>
    </w:p>
    <w:p w:rsidR="00B25CC4" w:rsidRDefault="00325D85">
      <w:pPr>
        <w:pStyle w:val="1"/>
      </w:pPr>
      <w:r>
        <w:t>2</w:t>
      </w:r>
      <w:r>
        <w:tab/>
        <w:t>Proposal</w:t>
      </w:r>
      <w:bookmarkEnd w:id="0"/>
    </w:p>
    <w:p w:rsidR="00B25CC4" w:rsidRDefault="00325D85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include the following changes in TR 23.700-</w:t>
      </w:r>
      <w:r w:rsidR="00302FC1">
        <w:rPr>
          <w:rFonts w:eastAsiaTheme="minorEastAsia"/>
          <w:color w:val="auto"/>
          <w:lang w:val="en-US" w:eastAsia="zh-CN"/>
        </w:rPr>
        <w:t>14</w:t>
      </w:r>
      <w:r>
        <w:rPr>
          <w:rFonts w:eastAsiaTheme="minorEastAsia"/>
          <w:color w:val="auto"/>
          <w:lang w:eastAsia="en-US"/>
        </w:rPr>
        <w:t>.</w:t>
      </w:r>
    </w:p>
    <w:p w:rsidR="00B25CC4" w:rsidRDefault="00325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Start of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Changes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</w:t>
      </w:r>
      <w:r>
        <w:rPr>
          <w:rFonts w:ascii="Arial" w:eastAsia="宋体" w:hAnsi="Arial" w:cs="Arial" w:hint="eastAsia"/>
          <w:b/>
          <w:color w:val="C5003D"/>
          <w:sz w:val="28"/>
          <w:szCs w:val="28"/>
          <w:lang w:val="en-US" w:eastAsia="zh-CN"/>
        </w:rPr>
        <w:t>(All new)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* * * *</w:t>
      </w:r>
      <w:bookmarkStart w:id="1" w:name="_Toc510607461"/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</w:p>
    <w:p w:rsidR="00B25CC4" w:rsidRDefault="00325D85">
      <w:pPr>
        <w:pStyle w:val="2"/>
      </w:pPr>
      <w:bookmarkStart w:id="2" w:name="_Toc160698587"/>
      <w:bookmarkStart w:id="3" w:name="_Toc168319308"/>
      <w:bookmarkStart w:id="4" w:name="_Toc168319561"/>
      <w:bookmarkStart w:id="5" w:name="_Toc168318790"/>
      <w:bookmarkStart w:id="6" w:name="_Toc168320071"/>
      <w:bookmarkStart w:id="7" w:name="_Toc175890777"/>
      <w:bookmarkStart w:id="8" w:name="_Toc168559727"/>
      <w:bookmarkStart w:id="9" w:name="_Toc168319816"/>
      <w:bookmarkStart w:id="10" w:name="_Toc164944540"/>
      <w:bookmarkStart w:id="11" w:name="_Toc157661576"/>
      <w:bookmarkStart w:id="12" w:name="_Toc191486312"/>
      <w:bookmarkStart w:id="13" w:name="_Toc180645725"/>
      <w:bookmarkStart w:id="14" w:name="_Toc164843905"/>
      <w:bookmarkStart w:id="15" w:name="_Toc183616658"/>
      <w:bookmarkEnd w:id="1"/>
      <w:r>
        <w:t>5.</w:t>
      </w:r>
      <w:r>
        <w:rPr>
          <w:rFonts w:eastAsia="宋体" w:hint="eastAsia"/>
          <w:lang w:val="en-US" w:eastAsia="zh-CN"/>
        </w:rPr>
        <w:t>4</w:t>
      </w:r>
      <w:r>
        <w:tab/>
        <w:t>Key Issue #</w:t>
      </w:r>
      <w:r>
        <w:rPr>
          <w:rFonts w:eastAsia="宋体" w:hint="eastAsia"/>
          <w:lang w:val="en-US" w:eastAsia="zh-CN"/>
        </w:rPr>
        <w:t>4</w:t>
      </w:r>
      <w:r>
        <w:t xml:space="preserve">: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hint="eastAsia"/>
        </w:rPr>
        <w:t>Sensing data collection and transport</w:t>
      </w:r>
    </w:p>
    <w:p w:rsidR="00B25CC4" w:rsidRDefault="00325D85">
      <w:pPr>
        <w:pStyle w:val="3"/>
        <w:rPr>
          <w:lang w:eastAsia="zh-CN"/>
        </w:rPr>
      </w:pPr>
      <w:bookmarkStart w:id="16" w:name="_Toc168318791"/>
      <w:bookmarkStart w:id="17" w:name="_Toc160698588"/>
      <w:bookmarkStart w:id="18" w:name="_Toc164944541"/>
      <w:bookmarkStart w:id="19" w:name="_Toc191486313"/>
      <w:bookmarkStart w:id="20" w:name="_Toc168319309"/>
      <w:bookmarkStart w:id="21" w:name="_Toc164843906"/>
      <w:bookmarkStart w:id="22" w:name="_Toc168319562"/>
      <w:bookmarkStart w:id="23" w:name="_Toc168320072"/>
      <w:bookmarkStart w:id="24" w:name="_Toc168319817"/>
      <w:bookmarkStart w:id="25" w:name="_Toc157661577"/>
      <w:bookmarkStart w:id="26" w:name="_Toc168559728"/>
      <w:bookmarkStart w:id="27" w:name="_Toc183616659"/>
      <w:bookmarkStart w:id="28" w:name="_Toc180645726"/>
      <w:bookmarkStart w:id="29" w:name="_Toc175890778"/>
      <w:r>
        <w:rPr>
          <w:lang w:eastAsia="ko-KR"/>
        </w:rPr>
        <w:t>5.</w:t>
      </w:r>
      <w:r>
        <w:rPr>
          <w:rFonts w:eastAsia="宋体" w:hint="eastAsia"/>
          <w:lang w:val="en-US" w:eastAsia="zh-CN"/>
        </w:rPr>
        <w:t>4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B25CC4" w:rsidRDefault="00325D85">
      <w:pPr>
        <w:rPr>
          <w:rFonts w:eastAsia="宋体"/>
          <w:lang w:val="en-US" w:eastAsia="zh-CN"/>
        </w:rPr>
      </w:pPr>
      <w:r>
        <w:t xml:space="preserve">This key issue will address the </w:t>
      </w:r>
      <w:r>
        <w:rPr>
          <w:rFonts w:eastAsia="宋体" w:hint="eastAsia"/>
          <w:lang w:val="en-US" w:eastAsia="zh-CN"/>
        </w:rPr>
        <w:t>collection</w:t>
      </w:r>
      <w:r>
        <w:t xml:space="preserve"> and </w:t>
      </w:r>
      <w:r>
        <w:rPr>
          <w:rFonts w:hint="eastAsia"/>
        </w:rPr>
        <w:t>transport</w:t>
      </w:r>
      <w:r>
        <w:t xml:space="preserve"> of sensing </w:t>
      </w:r>
      <w:r>
        <w:rPr>
          <w:rFonts w:eastAsia="宋体" w:hint="eastAsia"/>
          <w:lang w:val="en-US" w:eastAsia="zh-CN"/>
        </w:rPr>
        <w:t>data</w:t>
      </w:r>
      <w:r>
        <w:t xml:space="preserve"> to support </w:t>
      </w:r>
      <w:r>
        <w:rPr>
          <w:rFonts w:eastAsia="宋体" w:hint="eastAsia"/>
          <w:lang w:val="en-US" w:eastAsia="zh-CN"/>
        </w:rPr>
        <w:t>ISAC services.</w:t>
      </w:r>
    </w:p>
    <w:p w:rsidR="00B25CC4" w:rsidRDefault="00325D8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There is the related requirement in TS 22.137 [x] as below;</w:t>
      </w:r>
    </w:p>
    <w:p w:rsidR="00B25CC4" w:rsidRDefault="00325D85">
      <w:pPr>
        <w:rPr>
          <w:i/>
          <w:iCs/>
          <w:lang w:eastAsia="ko-KR"/>
        </w:rPr>
      </w:pPr>
      <w:r>
        <w:rPr>
          <w:rFonts w:hint="eastAsia"/>
          <w:i/>
          <w:iCs/>
          <w:lang w:eastAsia="ko-KR"/>
        </w:rPr>
        <w:t>Based on operator</w:t>
      </w:r>
      <w:r>
        <w:rPr>
          <w:rFonts w:hint="eastAsia"/>
          <w:i/>
          <w:iCs/>
          <w:lang w:eastAsia="ko-KR"/>
        </w:rPr>
        <w:t>’</w:t>
      </w:r>
      <w:r>
        <w:rPr>
          <w:rFonts w:hint="eastAsia"/>
          <w:i/>
          <w:iCs/>
          <w:lang w:eastAsia="ko-KR"/>
        </w:rPr>
        <w:t>s policies, operator</w:t>
      </w:r>
      <w:r>
        <w:rPr>
          <w:rFonts w:hint="eastAsia"/>
          <w:i/>
          <w:iCs/>
          <w:lang w:eastAsia="ko-KR"/>
        </w:rPr>
        <w:t>’</w:t>
      </w:r>
      <w:r>
        <w:rPr>
          <w:rFonts w:hint="eastAsia"/>
          <w:i/>
          <w:iCs/>
          <w:lang w:eastAsia="ko-KR"/>
        </w:rPr>
        <w:t>s control and regulation, the 5G system shall be able to collect 3GPP sensing data from sensing receivers for processing.</w:t>
      </w:r>
    </w:p>
    <w:p w:rsidR="00B25CC4" w:rsidRDefault="00325D85">
      <w:pPr>
        <w:rPr>
          <w:i/>
          <w:iCs/>
          <w:lang w:eastAsia="ko-KR"/>
        </w:rPr>
      </w:pPr>
      <w:bookmarkStart w:id="30" w:name="_Hlk142397791"/>
      <w:r>
        <w:rPr>
          <w:rFonts w:hint="eastAsia"/>
          <w:i/>
          <w:iCs/>
          <w:lang w:eastAsia="ko-KR"/>
        </w:rPr>
        <w:t>The 5G system shall support continuity for 5G wireless sensing service (e.g., for sensing a moving object).</w:t>
      </w:r>
      <w:bookmarkEnd w:id="30"/>
    </w:p>
    <w:p w:rsidR="00B25CC4" w:rsidRDefault="00325D85">
      <w:pPr>
        <w:rPr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Subject to operator</w:t>
      </w:r>
      <w:r>
        <w:rPr>
          <w:i/>
          <w:iCs/>
          <w:lang w:val="en-US" w:eastAsia="zh-CN"/>
        </w:rPr>
        <w:t>’</w:t>
      </w:r>
      <w:r>
        <w:rPr>
          <w:rFonts w:hint="eastAsia"/>
          <w:i/>
          <w:iCs/>
          <w:lang w:val="en-US" w:eastAsia="zh-CN"/>
        </w:rPr>
        <w:t>s policy, the 5G network shall provide secure means for a trusted third-party to request 5G wireless sensing service based on specific parameters (e.g., refresh rate, period of time, sensing KPIs, geographical location) and to receive the corresponding sensing results.</w:t>
      </w:r>
    </w:p>
    <w:p w:rsidR="00B25CC4" w:rsidRDefault="00325D8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Since the amount of sensing raw data may be very large comparing with general communication service, the raw sensing data may need be pre-</w:t>
      </w:r>
      <w:r w:rsidR="00F95DA1">
        <w:rPr>
          <w:rFonts w:eastAsia="宋体"/>
          <w:lang w:val="en-US" w:eastAsia="zh-CN"/>
        </w:rPr>
        <w:t>processed</w:t>
      </w:r>
      <w:bookmarkStart w:id="31" w:name="_GoBack"/>
      <w:bookmarkEnd w:id="31"/>
      <w:r>
        <w:rPr>
          <w:rFonts w:eastAsia="宋体" w:hint="eastAsia"/>
          <w:lang w:val="en-US" w:eastAsia="zh-CN"/>
        </w:rPr>
        <w:t xml:space="preserve"> taking the transmission bandwidth and network capacity into account.</w:t>
      </w:r>
    </w:p>
    <w:p w:rsidR="00B25CC4" w:rsidRDefault="00325D8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Furthermore, considering that whether there is UE involved or not, Sensing data collected by UE and RAN may be transported with different methods.</w:t>
      </w:r>
    </w:p>
    <w:p w:rsidR="00B25CC4" w:rsidRDefault="00325D85">
      <w:r>
        <w:t>Based on the above consideration, the aspects to be studied in this key issue include:</w:t>
      </w:r>
    </w:p>
    <w:p w:rsidR="00B25CC4" w:rsidRDefault="00325D85">
      <w:pPr>
        <w:pStyle w:val="B1"/>
        <w:rPr>
          <w:rFonts w:ascii="Times New Roman" w:eastAsia="宋体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  <w:lang w:val="en-US" w:eastAsia="zh-CN"/>
        </w:rPr>
        <w:t>-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  <w:lang w:val="en-US" w:eastAsia="zh-CN"/>
        </w:rPr>
        <w:tab/>
        <w:t>Whether, how and what types of sensing data to collect, considering network load and bandwidth constraints.</w:t>
      </w:r>
    </w:p>
    <w:p w:rsidR="00B25CC4" w:rsidRDefault="00325D85">
      <w:pPr>
        <w:pStyle w:val="B1"/>
        <w:rPr>
          <w:rFonts w:ascii="Times New Roman" w:eastAsia="宋体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  <w:lang w:val="en-US" w:eastAsia="zh-CN"/>
        </w:rPr>
        <w:t>-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  <w:lang w:val="en-US" w:eastAsia="zh-CN"/>
        </w:rPr>
        <w:tab/>
        <w:t>Whether and how to differentiate transport mechanisms for sensing data based on the source (UE vs. RAN).</w:t>
      </w:r>
    </w:p>
    <w:p w:rsidR="00B25CC4" w:rsidRDefault="00325D85">
      <w:pPr>
        <w:pStyle w:val="B1"/>
        <w:rPr>
          <w:rFonts w:ascii="Times New Roman" w:eastAsia="宋体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  <w:lang w:val="en-US" w:eastAsia="zh-CN"/>
        </w:rPr>
        <w:t>-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  <w:lang w:val="en-US" w:eastAsia="zh-CN"/>
        </w:rPr>
        <w:tab/>
        <w:t>Whether and how to ensure transmission continuity for sensing moving objects.</w:t>
      </w:r>
    </w:p>
    <w:p w:rsidR="00B25CC4" w:rsidRDefault="00325D85">
      <w:pPr>
        <w:pStyle w:val="B1"/>
        <w:rPr>
          <w:rFonts w:ascii="Times New Roman" w:eastAsia="宋体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  <w:lang w:val="en-US" w:eastAsia="zh-CN"/>
        </w:rPr>
        <w:lastRenderedPageBreak/>
        <w:t>-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  <w:lang w:val="en-US" w:eastAsia="zh-CN"/>
        </w:rPr>
        <w:tab/>
        <w:t>For cases involving sensitive sensing data, study whether and how to collect and transport such kind of data with security handling mechanisms.</w:t>
      </w:r>
    </w:p>
    <w:p w:rsidR="00B25CC4" w:rsidRDefault="00325D85">
      <w:pPr>
        <w:pStyle w:val="B1"/>
        <w:rPr>
          <w:rFonts w:ascii="Times New Roman" w:eastAsia="宋体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  <w:lang w:val="en-US" w:eastAsia="zh-CN"/>
        </w:rPr>
        <w:t>-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  <w:lang w:val="en-US" w:eastAsia="zh-CN"/>
        </w:rPr>
        <w:tab/>
        <w:t>Study the interface and protocol stack enhancement between RAN and 5GC for sensing data transmission.</w:t>
      </w:r>
    </w:p>
    <w:p w:rsidR="00B25CC4" w:rsidRDefault="00325D85">
      <w:pPr>
        <w:pStyle w:val="B1"/>
        <w:rPr>
          <w:rFonts w:ascii="Times New Roman" w:eastAsia="宋体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 w:hint="eastAsia"/>
          <w:color w:val="000000"/>
          <w:lang w:val="en-US" w:eastAsia="zh-CN"/>
        </w:rPr>
        <w:t>NOTE 1: RAN dependent aspects will be coordinated with RAN WGs.</w:t>
      </w:r>
    </w:p>
    <w:p w:rsidR="00B25CC4" w:rsidRDefault="00325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Changes * * * *</w:t>
      </w:r>
    </w:p>
    <w:p w:rsidR="00B25CC4" w:rsidRDefault="00B25CC4"/>
    <w:sectPr w:rsidR="00B25CC4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C92" w:rsidRDefault="00334C92">
      <w:pPr>
        <w:spacing w:after="0"/>
      </w:pPr>
      <w:r>
        <w:separator/>
      </w:r>
    </w:p>
  </w:endnote>
  <w:endnote w:type="continuationSeparator" w:id="0">
    <w:p w:rsidR="00334C92" w:rsidRDefault="00334C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CC4" w:rsidRDefault="00325D85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:rsidR="00B25CC4" w:rsidRDefault="00325D85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:rsidR="00B25CC4" w:rsidRDefault="00B25CC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C92" w:rsidRDefault="00334C92">
      <w:pPr>
        <w:spacing w:after="0"/>
      </w:pPr>
      <w:r>
        <w:separator/>
      </w:r>
    </w:p>
  </w:footnote>
  <w:footnote w:type="continuationSeparator" w:id="0">
    <w:p w:rsidR="00334C92" w:rsidRDefault="00334C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CC4" w:rsidRDefault="00B25CC4"/>
  <w:p w:rsidR="00B25CC4" w:rsidRDefault="00B25C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CC4" w:rsidRDefault="00325D85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 w:rsidR="00B25CC4" w:rsidRDefault="00325D85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95DA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:rsidR="00B25CC4" w:rsidRDefault="00B25CC4">
    <w:pPr>
      <w:rPr>
        <w:lang w:val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C6F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41"/>
    <w:rsid w:val="00016F56"/>
    <w:rsid w:val="00017297"/>
    <w:rsid w:val="0001761C"/>
    <w:rsid w:val="00017CC5"/>
    <w:rsid w:val="00020122"/>
    <w:rsid w:val="000202C7"/>
    <w:rsid w:val="00020E91"/>
    <w:rsid w:val="0002113F"/>
    <w:rsid w:val="00021493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4F"/>
    <w:rsid w:val="00073266"/>
    <w:rsid w:val="000735A7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68B1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AD5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742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D72"/>
    <w:rsid w:val="00114E46"/>
    <w:rsid w:val="00114FAB"/>
    <w:rsid w:val="00114FD2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547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222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166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2FC1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678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D85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4C92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1DE3"/>
    <w:rsid w:val="00372498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1EC2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48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A5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24B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96D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857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CEC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494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1D5A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14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A25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6AD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55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8BE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77B2E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5DE4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BE6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54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0C3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9A4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178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5CC4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2CB9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8BF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1B6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C57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8C8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487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3E4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D4D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5DA1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317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BF7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1FB689C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866DE9"/>
    <w:rsid w:val="06C7905D"/>
    <w:rsid w:val="06DB9D03"/>
    <w:rsid w:val="07188FD5"/>
    <w:rsid w:val="07E5DA22"/>
    <w:rsid w:val="08932A6F"/>
    <w:rsid w:val="08B6F64E"/>
    <w:rsid w:val="08E62203"/>
    <w:rsid w:val="09317E48"/>
    <w:rsid w:val="097F790B"/>
    <w:rsid w:val="0AC05EBA"/>
    <w:rsid w:val="0BB88BD2"/>
    <w:rsid w:val="0BC435B5"/>
    <w:rsid w:val="0C3CBA73"/>
    <w:rsid w:val="0CD57B26"/>
    <w:rsid w:val="0F0992E3"/>
    <w:rsid w:val="0F9EAD2A"/>
    <w:rsid w:val="0FC63F72"/>
    <w:rsid w:val="0FDD148D"/>
    <w:rsid w:val="10073E51"/>
    <w:rsid w:val="1014A0E8"/>
    <w:rsid w:val="125A6A35"/>
    <w:rsid w:val="133F0824"/>
    <w:rsid w:val="13FCD132"/>
    <w:rsid w:val="167E6BC8"/>
    <w:rsid w:val="168635DE"/>
    <w:rsid w:val="173CF6EF"/>
    <w:rsid w:val="17A79D43"/>
    <w:rsid w:val="17EEBDE7"/>
    <w:rsid w:val="17FE85B4"/>
    <w:rsid w:val="180E1588"/>
    <w:rsid w:val="189BFEFB"/>
    <w:rsid w:val="191E9443"/>
    <w:rsid w:val="195FCE61"/>
    <w:rsid w:val="19F540B8"/>
    <w:rsid w:val="1A1D7E4C"/>
    <w:rsid w:val="1BBB9D96"/>
    <w:rsid w:val="1C61348B"/>
    <w:rsid w:val="1CF6400F"/>
    <w:rsid w:val="1D20EF95"/>
    <w:rsid w:val="1E4398C3"/>
    <w:rsid w:val="1EAF6081"/>
    <w:rsid w:val="1F2AEEEF"/>
    <w:rsid w:val="1F6115C2"/>
    <w:rsid w:val="1F6572F7"/>
    <w:rsid w:val="1FBFD7BC"/>
    <w:rsid w:val="1FC806C7"/>
    <w:rsid w:val="1FE6A940"/>
    <w:rsid w:val="20D7CDA7"/>
    <w:rsid w:val="213D2C85"/>
    <w:rsid w:val="220209E4"/>
    <w:rsid w:val="22066450"/>
    <w:rsid w:val="22912A9D"/>
    <w:rsid w:val="262B60F9"/>
    <w:rsid w:val="271708A0"/>
    <w:rsid w:val="2741799A"/>
    <w:rsid w:val="28936890"/>
    <w:rsid w:val="28D3F9E6"/>
    <w:rsid w:val="299AF4C1"/>
    <w:rsid w:val="29C2EAB6"/>
    <w:rsid w:val="29CA7E97"/>
    <w:rsid w:val="2AB5289F"/>
    <w:rsid w:val="2ACB7E6D"/>
    <w:rsid w:val="2AD37BD5"/>
    <w:rsid w:val="2BC03F33"/>
    <w:rsid w:val="2D30D7B3"/>
    <w:rsid w:val="2D507879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76784"/>
    <w:rsid w:val="3AD9A0AE"/>
    <w:rsid w:val="3AFF0145"/>
    <w:rsid w:val="3B14FC7B"/>
    <w:rsid w:val="3B1B6028"/>
    <w:rsid w:val="3B4C0F52"/>
    <w:rsid w:val="3B99B4B7"/>
    <w:rsid w:val="3B9B32A8"/>
    <w:rsid w:val="3C1732DC"/>
    <w:rsid w:val="3CFC1FF0"/>
    <w:rsid w:val="3DBDF03A"/>
    <w:rsid w:val="3E692370"/>
    <w:rsid w:val="3E7FFF2D"/>
    <w:rsid w:val="3EBFBEC4"/>
    <w:rsid w:val="3EFA1654"/>
    <w:rsid w:val="3F3D7059"/>
    <w:rsid w:val="3F854A01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EF4B02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B33C1E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BA366C"/>
    <w:rsid w:val="63EAA7F2"/>
    <w:rsid w:val="64A15589"/>
    <w:rsid w:val="657E75F9"/>
    <w:rsid w:val="65F55B8D"/>
    <w:rsid w:val="663F6410"/>
    <w:rsid w:val="66C39721"/>
    <w:rsid w:val="67422C43"/>
    <w:rsid w:val="677F0BB3"/>
    <w:rsid w:val="677FCC2F"/>
    <w:rsid w:val="67D3024D"/>
    <w:rsid w:val="67E66A1C"/>
    <w:rsid w:val="68DE5979"/>
    <w:rsid w:val="68FA0EBC"/>
    <w:rsid w:val="694D7FC9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A80FC8"/>
    <w:rsid w:val="7AFC97F7"/>
    <w:rsid w:val="7AFDA4D2"/>
    <w:rsid w:val="7C04E61B"/>
    <w:rsid w:val="7C58627F"/>
    <w:rsid w:val="7CD648B0"/>
    <w:rsid w:val="7CE379BB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077566-D53D-40CE-929E-1EDBA732C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annotation reference" w:qFormat="1"/>
    <w:lsdException w:name="List" w:uiPriority="99" w:qFormat="1"/>
    <w:lsdException w:name="List Bullet" w:uiPriority="99" w:qFormat="1"/>
    <w:lsdException w:name="List Number" w:uiPriority="99" w:qFormat="1"/>
    <w:lsdException w:name="List 2" w:qFormat="1"/>
    <w:lsdException w:name="Title" w:uiPriority="10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List Number"/>
    <w:basedOn w:val="a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4">
    <w:name w:val="caption"/>
    <w:basedOn w:val="a"/>
    <w:next w:val="a"/>
    <w:qFormat/>
    <w:rPr>
      <w:b/>
      <w:bCs/>
    </w:rPr>
  </w:style>
  <w:style w:type="paragraph" w:styleId="a5">
    <w:name w:val="List Bullet"/>
    <w:basedOn w:val="a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6">
    <w:name w:val="Document Map"/>
    <w:basedOn w:val="a"/>
    <w:link w:val="a7"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qFormat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a">
    <w:name w:val="Body Text"/>
    <w:basedOn w:val="a"/>
    <w:link w:val="ab"/>
    <w:uiPriority w:val="99"/>
    <w:unhideWhenUsed/>
    <w:qFormat/>
    <w:pPr>
      <w:spacing w:after="120"/>
    </w:pPr>
    <w:rPr>
      <w:rFonts w:eastAsia="宋体"/>
    </w:rPr>
  </w:style>
  <w:style w:type="paragraph" w:styleId="22">
    <w:name w:val="List 2"/>
    <w:basedOn w:val="ac"/>
    <w:qFormat/>
    <w:pPr>
      <w:ind w:left="566"/>
    </w:pPr>
  </w:style>
  <w:style w:type="paragraph" w:styleId="ac">
    <w:name w:val="List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qFormat/>
    <w:pPr>
      <w:spacing w:after="0"/>
    </w:pPr>
    <w:rPr>
      <w:rFonts w:ascii="Malgun Gothic" w:hAnsi="Malgun Gothic"/>
      <w:sz w:val="18"/>
      <w:szCs w:val="18"/>
    </w:rPr>
  </w:style>
  <w:style w:type="paragraph" w:styleId="af">
    <w:name w:val="footer"/>
    <w:basedOn w:val="a"/>
    <w:link w:val="af0"/>
    <w:uiPriority w:val="99"/>
    <w:qFormat/>
    <w:pPr>
      <w:tabs>
        <w:tab w:val="center" w:pos="4153"/>
        <w:tab w:val="right" w:pos="8306"/>
      </w:tabs>
    </w:pPr>
  </w:style>
  <w:style w:type="paragraph" w:styleId="af1">
    <w:name w:val="header"/>
    <w:basedOn w:val="a"/>
    <w:link w:val="af2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uiPriority w:val="39"/>
    <w:qFormat/>
    <w:pPr>
      <w:tabs>
        <w:tab w:val="clear" w:pos="9639"/>
      </w:tabs>
      <w:ind w:left="1418" w:hanging="1418"/>
    </w:pPr>
  </w:style>
  <w:style w:type="paragraph" w:styleId="af3">
    <w:name w:val="Normal (Web)"/>
    <w:basedOn w:val="a"/>
    <w:uiPriority w:val="99"/>
    <w:qFormat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4">
    <w:name w:val="Title"/>
    <w:basedOn w:val="a"/>
    <w:next w:val="a"/>
    <w:link w:val="af5"/>
    <w:uiPriority w:val="10"/>
    <w:qFormat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paragraph" w:styleId="af6">
    <w:name w:val="annotation subject"/>
    <w:basedOn w:val="a8"/>
    <w:next w:val="a8"/>
    <w:link w:val="af7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af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b/>
      <w:bCs/>
    </w:rPr>
  </w:style>
  <w:style w:type="character" w:styleId="afa">
    <w:name w:val="FollowedHyperlink"/>
    <w:uiPriority w:val="99"/>
    <w:qFormat/>
    <w:rPr>
      <w:color w:val="800080"/>
      <w:u w:val="single"/>
    </w:rPr>
  </w:style>
  <w:style w:type="character" w:styleId="afb">
    <w:name w:val="Emphasis"/>
    <w:uiPriority w:val="20"/>
    <w:qFormat/>
    <w:rPr>
      <w:i/>
      <w:iCs/>
    </w:rPr>
  </w:style>
  <w:style w:type="character" w:styleId="afc">
    <w:name w:val="Hyperlink"/>
    <w:uiPriority w:val="99"/>
    <w:qFormat/>
    <w:rPr>
      <w:color w:val="0000FF"/>
      <w:u w:val="single"/>
    </w:rPr>
  </w:style>
  <w:style w:type="character" w:styleId="afd">
    <w:name w:val="annotation reference"/>
    <w:qFormat/>
    <w:rPr>
      <w:sz w:val="16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af7">
    <w:name w:val="批注主题 字符"/>
    <w:link w:val="af6"/>
    <w:qFormat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TAL">
    <w:name w:val="TAL"/>
    <w:basedOn w:val="a"/>
    <w:link w:val="TALChar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7">
    <w:name w:val="文档结构图 字符"/>
    <w:link w:val="a6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uiPriority w:val="9"/>
    <w:qFormat/>
    <w:rPr>
      <w:rFonts w:ascii="Arial" w:hAnsi="Arial"/>
      <w:sz w:val="28"/>
      <w:lang w:val="en-GB" w:eastAsia="ja-JP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a9">
    <w:name w:val="批注文字 字符"/>
    <w:link w:val="a8"/>
    <w:qFormat/>
    <w:rPr>
      <w:rFonts w:eastAsia="宋体"/>
      <w:lang w:val="en-GB" w:eastAsia="en-US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 w:eastAsia="ja-JP"/>
    </w:rPr>
  </w:style>
  <w:style w:type="character" w:customStyle="1" w:styleId="ab">
    <w:name w:val="正文文本 字符"/>
    <w:link w:val="aa"/>
    <w:uiPriority w:val="99"/>
    <w:qFormat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2">
    <w:name w:val="B2"/>
    <w:basedOn w:val="22"/>
    <w:link w:val="B2Char"/>
    <w:qFormat/>
    <w:pPr>
      <w:ind w:left="851" w:hanging="284"/>
    </w:pPr>
  </w:style>
  <w:style w:type="character" w:customStyle="1" w:styleId="af2">
    <w:name w:val="页眉 字符"/>
    <w:link w:val="af1"/>
    <w:uiPriority w:val="99"/>
    <w:qFormat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character" w:customStyle="1" w:styleId="ae">
    <w:name w:val="批注框文本 字符"/>
    <w:link w:val="ad"/>
    <w:qFormat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character" w:customStyle="1" w:styleId="ZGSM">
    <w:name w:val="ZGSM"/>
    <w:qFormat/>
  </w:style>
  <w:style w:type="paragraph" w:customStyle="1" w:styleId="TAJ">
    <w:name w:val="TAJ"/>
    <w:basedOn w:val="a"/>
    <w:uiPriority w:val="99"/>
    <w:qFormat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AP">
    <w:name w:val="AP"/>
    <w:basedOn w:val="a"/>
    <w:uiPriority w:val="99"/>
    <w:qFormat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qFormat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FP">
    <w:name w:val="FP"/>
    <w:basedOn w:val="a"/>
    <w:uiPriority w:val="99"/>
    <w:qFormat/>
    <w:pPr>
      <w:spacing w:after="0"/>
    </w:pPr>
    <w:rPr>
      <w:rFonts w:eastAsia="Times New Roman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qFormat/>
    <w:pPr>
      <w:ind w:left="1702" w:hanging="284"/>
    </w:pPr>
  </w:style>
  <w:style w:type="paragraph" w:customStyle="1" w:styleId="ZK">
    <w:name w:val="ZK"/>
    <w:uiPriority w:val="99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ZC">
    <w:name w:val="ZC"/>
    <w:uiPriority w:val="99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qFormat/>
    <w:rPr>
      <w:rFonts w:eastAsia="Times New Roman"/>
      <w:b/>
      <w:lang w:eastAsia="en-US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customStyle="1" w:styleId="12">
    <w:name w:val="修订1"/>
    <w:uiPriority w:val="99"/>
    <w:semiHidden/>
    <w:qFormat/>
    <w:rPr>
      <w:color w:val="000000"/>
      <w:lang w:val="en-GB" w:eastAsia="ja-JP"/>
    </w:rPr>
  </w:style>
  <w:style w:type="paragraph" w:styleId="afe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character" w:customStyle="1" w:styleId="shorttext">
    <w:name w:val="short_text"/>
    <w:basedOn w:val="a0"/>
    <w:qFormat/>
  </w:style>
  <w:style w:type="paragraph" w:customStyle="1" w:styleId="commentcontentpara">
    <w:name w:val="commentcontentpara"/>
    <w:basedOn w:val="a"/>
    <w:qFormat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val="en-GB" w:eastAsia="ja-JP"/>
    </w:rPr>
  </w:style>
  <w:style w:type="paragraph" w:customStyle="1" w:styleId="Heading">
    <w:name w:val="Heading"/>
    <w:basedOn w:val="a"/>
    <w:next w:val="aa"/>
    <w:uiPriority w:val="99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customStyle="1" w:styleId="Index">
    <w:name w:val="Index"/>
    <w:basedOn w:val="a"/>
    <w:uiPriority w:val="99"/>
    <w:qFormat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customStyle="1" w:styleId="ACTION">
    <w:name w:val="ACTION"/>
    <w:basedOn w:val="a"/>
    <w:uiPriority w:val="99"/>
    <w:qFormat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qFormat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character" w:customStyle="1" w:styleId="af5">
    <w:name w:val="标题 字符"/>
    <w:basedOn w:val="a0"/>
    <w:link w:val="af4"/>
    <w:uiPriority w:val="10"/>
    <w:qFormat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qFormat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/>
    </w:rPr>
  </w:style>
  <w:style w:type="character" w:customStyle="1" w:styleId="40">
    <w:name w:val="标题 4 字符"/>
    <w:link w:val="4"/>
    <w:uiPriority w:val="9"/>
    <w:qFormat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uiPriority w:val="9"/>
    <w:qFormat/>
    <w:rPr>
      <w:rFonts w:ascii="Arial" w:hAnsi="Arial"/>
      <w:sz w:val="22"/>
      <w:lang w:val="en-GB" w:eastAsia="ja-JP"/>
    </w:rPr>
  </w:style>
  <w:style w:type="character" w:customStyle="1" w:styleId="80">
    <w:name w:val="标题 8 字符"/>
    <w:link w:val="8"/>
    <w:uiPriority w:val="9"/>
    <w:qFormat/>
    <w:rPr>
      <w:rFonts w:ascii="Arial" w:hAnsi="Arial"/>
      <w:sz w:val="36"/>
      <w:lang w:val="en-GB" w:eastAsia="ja-JP"/>
    </w:rPr>
  </w:style>
  <w:style w:type="character" w:customStyle="1" w:styleId="90">
    <w:name w:val="标题 9 字符"/>
    <w:link w:val="9"/>
    <w:uiPriority w:val="9"/>
    <w:qFormat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qFormat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0">
    <w:name w:val="页脚 字符"/>
    <w:link w:val="af"/>
    <w:uiPriority w:val="99"/>
    <w:qFormat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qFormat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24389E-2076-4637-810C-EB6B8A522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Backman</dc:creator>
  <cp:lastModifiedBy>CMCC2</cp:lastModifiedBy>
  <cp:revision>16</cp:revision>
  <dcterms:created xsi:type="dcterms:W3CDTF">2024-01-10T08:43:00Z</dcterms:created>
  <dcterms:modified xsi:type="dcterms:W3CDTF">2025-03-28T14:38:00Z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ICV">
    <vt:lpwstr>05FFEBB7F3FD42DDAC283652A45396C2_13</vt:lpwstr>
  </property>
  <property fmtid="{D5CDD505-2E9C-101B-9397-08002B2CF9AE}" pid="8" name="KSOTemplateDocerSaveRecord">
    <vt:lpwstr>eyJoZGlkIjoiNDgxMTI1MDU0ZjRlZjMzN2NkNTg5YjZlYzcxODk2ZmEiLCJ1c2VySWQiOiIyMzk5MTk1NDAifQ==</vt:lpwstr>
  </property>
</Properties>
</file>